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00" w:type="dxa"/>
        <w:tblCellSpacing w:w="15" w:type="dxa"/>
        <w:tblCellMar>
          <w:top w:w="15" w:type="dxa"/>
          <w:left w:w="15" w:type="dxa"/>
          <w:bottom w:w="15" w:type="dxa"/>
          <w:right w:w="15" w:type="dxa"/>
        </w:tblCellMar>
        <w:tblLook w:val="04A0" w:firstRow="1" w:lastRow="0" w:firstColumn="1" w:lastColumn="0" w:noHBand="0" w:noVBand="1"/>
      </w:tblPr>
      <w:tblGrid>
        <w:gridCol w:w="5895"/>
        <w:gridCol w:w="1545"/>
        <w:gridCol w:w="1560"/>
      </w:tblGrid>
      <w:tr w:rsidR="002C70CF" w:rsidRPr="002C70CF" w:rsidTr="002C70CF">
        <w:trPr>
          <w:tblCellSpacing w:w="15" w:type="dxa"/>
        </w:trPr>
        <w:tc>
          <w:tcPr>
            <w:tcW w:w="0" w:type="auto"/>
            <w:gridSpan w:val="3"/>
            <w:vAlign w:val="center"/>
            <w:hideMark/>
          </w:tcPr>
          <w:p w:rsidR="002C70CF" w:rsidRPr="002C70CF" w:rsidRDefault="002C70CF" w:rsidP="002C70CF">
            <w:pPr>
              <w:spacing w:before="75" w:after="375" w:line="330" w:lineRule="atLeast"/>
              <w:outlineLvl w:val="0"/>
              <w:rPr>
                <w:rFonts w:ascii="Arial Black" w:eastAsia="Times New Roman" w:hAnsi="Arial Black" w:cs="Tahoma"/>
                <w:b/>
                <w:bCs/>
                <w:caps/>
                <w:color w:val="F0AB00"/>
                <w:spacing w:val="-12"/>
                <w:kern w:val="36"/>
                <w:sz w:val="29"/>
                <w:szCs w:val="29"/>
                <w:lang w:eastAsia="fr-FR"/>
              </w:rPr>
            </w:pPr>
            <w:bookmarkStart w:id="0" w:name="_GoBack"/>
            <w:r w:rsidRPr="002C70CF">
              <w:rPr>
                <w:rFonts w:ascii="Arial Black" w:eastAsia="Times New Roman" w:hAnsi="Arial Black" w:cs="Tahoma"/>
                <w:b/>
                <w:bCs/>
                <w:caps/>
                <w:color w:val="F0AB00"/>
                <w:spacing w:val="-12"/>
                <w:kern w:val="36"/>
                <w:sz w:val="29"/>
                <w:szCs w:val="29"/>
                <w:lang w:eastAsia="fr-FR"/>
              </w:rPr>
              <w:t>Structure d’entreprise</w:t>
            </w:r>
            <w:bookmarkEnd w:id="0"/>
          </w:p>
        </w:tc>
      </w:tr>
      <w:tr w:rsidR="002C70CF" w:rsidRPr="002C70CF" w:rsidTr="002C70CF">
        <w:trPr>
          <w:tblCellSpacing w:w="15" w:type="dxa"/>
        </w:trPr>
        <w:tc>
          <w:tcPr>
            <w:tcW w:w="5850" w:type="dxa"/>
            <w:hideMark/>
          </w:tcPr>
          <w:p w:rsidR="002C70CF" w:rsidRPr="002C70CF" w:rsidRDefault="002C70CF" w:rsidP="002C70CF">
            <w:pPr>
              <w:spacing w:before="100" w:beforeAutospacing="1" w:after="100" w:afterAutospacing="1" w:line="240" w:lineRule="auto"/>
              <w:rPr>
                <w:rFonts w:ascii="Tahoma" w:eastAsia="Times New Roman" w:hAnsi="Tahoma" w:cs="Tahoma"/>
                <w:color w:val="333333"/>
                <w:sz w:val="16"/>
                <w:szCs w:val="16"/>
                <w:lang w:eastAsia="fr-FR"/>
              </w:rPr>
            </w:pPr>
            <w:r w:rsidRPr="002C70CF">
              <w:rPr>
                <w:rFonts w:ascii="Tahoma" w:eastAsia="Times New Roman" w:hAnsi="Tahoma" w:cs="Tahoma"/>
                <w:color w:val="333333"/>
                <w:sz w:val="16"/>
                <w:szCs w:val="16"/>
                <w:lang w:eastAsia="fr-FR"/>
              </w:rPr>
              <w:t xml:space="preserve">La structure hiérarchique de ce Building Block est fondée sur trois Business Configuration (BC) Sets principaux : Structures d’entreprise communes, Autres structures organisationnelles logistiques et Structures organisationnelles inter-sociétés. Chacune de ces structures inclut plusieurs BC Sets qui comprennent les options nécessaires à la configuration et à l’exécution d’une structure d’entreprise au sein d’une solution métier SAP Best Practices. L’activation des BC Sets crée une structure d’entreprise générique dans le système. Chaque BC Set contient des paramètres modifiables qui permettent de créer ou d’affecter une entité organisationnelle, selon le cas. Vous pouvez également réutiliser les BC Sets pour créer d’autres entités organisationnelles. </w:t>
            </w:r>
          </w:p>
          <w:p w:rsidR="002C70CF" w:rsidRPr="002C70CF" w:rsidRDefault="002C70CF" w:rsidP="002C70CF">
            <w:pPr>
              <w:spacing w:before="100" w:beforeAutospacing="1" w:after="0" w:line="255" w:lineRule="atLeast"/>
              <w:outlineLvl w:val="3"/>
              <w:rPr>
                <w:rFonts w:ascii="Arial" w:eastAsia="Times New Roman" w:hAnsi="Arial" w:cs="Arial"/>
                <w:b/>
                <w:bCs/>
                <w:color w:val="44697D"/>
                <w:sz w:val="23"/>
                <w:szCs w:val="23"/>
                <w:lang w:eastAsia="fr-FR"/>
              </w:rPr>
            </w:pPr>
            <w:r w:rsidRPr="002C70CF">
              <w:rPr>
                <w:rFonts w:ascii="Arial" w:eastAsia="Times New Roman" w:hAnsi="Arial" w:cs="Arial"/>
                <w:b/>
                <w:bCs/>
                <w:color w:val="44697D"/>
                <w:sz w:val="23"/>
                <w:szCs w:val="23"/>
                <w:lang w:eastAsia="fr-FR"/>
              </w:rPr>
              <w:t>Liste des fonctions</w:t>
            </w:r>
          </w:p>
          <w:p w:rsidR="002C70CF" w:rsidRPr="002C70CF" w:rsidRDefault="002C70CF" w:rsidP="002C70CF">
            <w:pPr>
              <w:spacing w:before="100" w:beforeAutospacing="1" w:after="100" w:afterAutospacing="1" w:line="240" w:lineRule="auto"/>
              <w:rPr>
                <w:rFonts w:ascii="Tahoma" w:eastAsia="Times New Roman" w:hAnsi="Tahoma" w:cs="Tahoma"/>
                <w:color w:val="333333"/>
                <w:sz w:val="16"/>
                <w:szCs w:val="16"/>
                <w:lang w:eastAsia="fr-FR"/>
              </w:rPr>
            </w:pPr>
            <w:r w:rsidRPr="002C70CF">
              <w:rPr>
                <w:rFonts w:ascii="Tahoma" w:eastAsia="Times New Roman" w:hAnsi="Tahoma" w:cs="Tahoma"/>
                <w:color w:val="333333"/>
                <w:sz w:val="16"/>
                <w:szCs w:val="16"/>
                <w:lang w:eastAsia="fr-FR"/>
              </w:rPr>
              <w:t>Les fonctions suivantes sont disponibles :</w:t>
            </w:r>
          </w:p>
          <w:p w:rsidR="002C70CF" w:rsidRPr="002C70CF" w:rsidRDefault="002C70CF" w:rsidP="002C70CF">
            <w:pPr>
              <w:numPr>
                <w:ilvl w:val="0"/>
                <w:numId w:val="10"/>
              </w:numPr>
              <w:spacing w:before="80" w:after="100" w:afterAutospacing="1" w:line="240" w:lineRule="auto"/>
              <w:rPr>
                <w:rFonts w:ascii="Tahoma" w:eastAsia="Times New Roman" w:hAnsi="Tahoma" w:cs="Tahoma"/>
                <w:color w:val="333333"/>
                <w:sz w:val="16"/>
                <w:szCs w:val="16"/>
                <w:lang w:eastAsia="fr-FR"/>
              </w:rPr>
            </w:pPr>
            <w:r w:rsidRPr="002C70CF">
              <w:rPr>
                <w:rFonts w:ascii="Tahoma" w:eastAsia="Times New Roman" w:hAnsi="Tahoma" w:cs="Tahoma"/>
                <w:color w:val="333333"/>
                <w:sz w:val="16"/>
                <w:szCs w:val="16"/>
                <w:lang w:eastAsia="fr-FR"/>
              </w:rPr>
              <w:t>Création et affectation de toutes les entités organisationnelles nécessaires à l’installation SAP Best Practices.</w:t>
            </w:r>
          </w:p>
          <w:p w:rsidR="002C70CF" w:rsidRPr="002C70CF" w:rsidRDefault="002C70CF" w:rsidP="002C70CF">
            <w:pPr>
              <w:numPr>
                <w:ilvl w:val="0"/>
                <w:numId w:val="10"/>
              </w:numPr>
              <w:spacing w:before="80" w:after="100" w:afterAutospacing="1" w:line="240" w:lineRule="auto"/>
              <w:rPr>
                <w:rFonts w:ascii="Tahoma" w:eastAsia="Times New Roman" w:hAnsi="Tahoma" w:cs="Tahoma"/>
                <w:color w:val="333333"/>
                <w:sz w:val="16"/>
                <w:szCs w:val="16"/>
                <w:lang w:eastAsia="fr-FR"/>
              </w:rPr>
            </w:pPr>
            <w:r w:rsidRPr="002C70CF">
              <w:rPr>
                <w:rFonts w:ascii="Tahoma" w:eastAsia="Times New Roman" w:hAnsi="Tahoma" w:cs="Tahoma"/>
                <w:color w:val="333333"/>
                <w:sz w:val="16"/>
                <w:szCs w:val="16"/>
                <w:lang w:eastAsia="fr-FR"/>
              </w:rPr>
              <w:t>Utilisation de zones variables dans les BC Sets, permettant de prendre en charge l’implémentation des données propres à chaque organisation.</w:t>
            </w:r>
          </w:p>
          <w:p w:rsidR="002C70CF" w:rsidRPr="002C70CF" w:rsidRDefault="002C70CF" w:rsidP="002C70CF">
            <w:pPr>
              <w:numPr>
                <w:ilvl w:val="0"/>
                <w:numId w:val="10"/>
              </w:numPr>
              <w:spacing w:before="80" w:after="100" w:afterAutospacing="1" w:line="240" w:lineRule="auto"/>
              <w:rPr>
                <w:rFonts w:ascii="Tahoma" w:eastAsia="Times New Roman" w:hAnsi="Tahoma" w:cs="Tahoma"/>
                <w:color w:val="333333"/>
                <w:sz w:val="16"/>
                <w:szCs w:val="16"/>
                <w:lang w:eastAsia="fr-FR"/>
              </w:rPr>
            </w:pPr>
            <w:r w:rsidRPr="002C70CF">
              <w:rPr>
                <w:rFonts w:ascii="Tahoma" w:eastAsia="Times New Roman" w:hAnsi="Tahoma" w:cs="Tahoma"/>
                <w:color w:val="333333"/>
                <w:sz w:val="16"/>
                <w:szCs w:val="16"/>
                <w:lang w:eastAsia="fr-FR"/>
              </w:rPr>
              <w:t>Building Block fournissant le cadre d’une structure d’entreprise. L’installation des autres Building Blocks implémente les données supplémentaires.</w:t>
            </w:r>
          </w:p>
          <w:p w:rsidR="002C70CF" w:rsidRPr="002C70CF" w:rsidRDefault="002C70CF" w:rsidP="002C70CF">
            <w:pPr>
              <w:spacing w:before="100" w:beforeAutospacing="1" w:after="0" w:line="255" w:lineRule="atLeast"/>
              <w:outlineLvl w:val="3"/>
              <w:rPr>
                <w:rFonts w:ascii="Arial" w:eastAsia="Times New Roman" w:hAnsi="Arial" w:cs="Arial"/>
                <w:b/>
                <w:bCs/>
                <w:color w:val="44697D"/>
                <w:sz w:val="23"/>
                <w:szCs w:val="23"/>
                <w:lang w:eastAsia="fr-FR"/>
              </w:rPr>
            </w:pPr>
            <w:r w:rsidRPr="002C70CF">
              <w:rPr>
                <w:rFonts w:ascii="Arial" w:eastAsia="Times New Roman" w:hAnsi="Arial" w:cs="Arial"/>
                <w:b/>
                <w:bCs/>
                <w:color w:val="44697D"/>
                <w:sz w:val="23"/>
                <w:szCs w:val="23"/>
                <w:lang w:eastAsia="fr-FR"/>
              </w:rPr>
              <w:t>Points clés</w:t>
            </w:r>
          </w:p>
          <w:p w:rsidR="002C70CF" w:rsidRPr="002C70CF" w:rsidRDefault="002C70CF" w:rsidP="002C70CF">
            <w:pPr>
              <w:numPr>
                <w:ilvl w:val="0"/>
                <w:numId w:val="11"/>
              </w:numPr>
              <w:spacing w:before="80" w:after="100" w:afterAutospacing="1" w:line="240" w:lineRule="auto"/>
              <w:rPr>
                <w:rFonts w:ascii="Tahoma" w:eastAsia="Times New Roman" w:hAnsi="Tahoma" w:cs="Tahoma"/>
                <w:color w:val="333333"/>
                <w:sz w:val="16"/>
                <w:szCs w:val="16"/>
                <w:lang w:eastAsia="fr-FR"/>
              </w:rPr>
            </w:pPr>
            <w:r w:rsidRPr="002C70CF">
              <w:rPr>
                <w:rFonts w:ascii="Tahoma" w:eastAsia="Times New Roman" w:hAnsi="Tahoma" w:cs="Tahoma"/>
                <w:color w:val="333333"/>
                <w:sz w:val="16"/>
                <w:szCs w:val="16"/>
                <w:lang w:eastAsia="fr-FR"/>
              </w:rPr>
              <w:t>Options organisationnelles préconfigurées</w:t>
            </w:r>
          </w:p>
          <w:p w:rsidR="002C70CF" w:rsidRPr="002C70CF" w:rsidRDefault="002C70CF" w:rsidP="002C70CF">
            <w:pPr>
              <w:numPr>
                <w:ilvl w:val="0"/>
                <w:numId w:val="11"/>
              </w:numPr>
              <w:spacing w:before="80" w:after="100" w:afterAutospacing="1" w:line="240" w:lineRule="auto"/>
              <w:rPr>
                <w:rFonts w:ascii="Tahoma" w:eastAsia="Times New Roman" w:hAnsi="Tahoma" w:cs="Tahoma"/>
                <w:color w:val="333333"/>
                <w:sz w:val="16"/>
                <w:szCs w:val="16"/>
                <w:lang w:eastAsia="fr-FR"/>
              </w:rPr>
            </w:pPr>
            <w:r w:rsidRPr="002C70CF">
              <w:rPr>
                <w:rFonts w:ascii="Tahoma" w:eastAsia="Times New Roman" w:hAnsi="Tahoma" w:cs="Tahoma"/>
                <w:color w:val="333333"/>
                <w:sz w:val="16"/>
                <w:szCs w:val="16"/>
                <w:lang w:eastAsia="fr-FR"/>
              </w:rPr>
              <w:t>Structure spécifique au pays (doit être complétée par les besoins locaux par le biais de l’activation des Building Blocks nationaux tels que la comptabilité financière)</w:t>
            </w:r>
          </w:p>
        </w:tc>
        <w:tc>
          <w:tcPr>
            <w:tcW w:w="0" w:type="auto"/>
            <w:vAlign w:val="center"/>
            <w:hideMark/>
          </w:tcPr>
          <w:p w:rsidR="002C70CF" w:rsidRPr="002C70CF" w:rsidRDefault="002C70CF" w:rsidP="002C70CF">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2C70CF" w:rsidRPr="002C70CF" w:rsidRDefault="002C70CF" w:rsidP="002C70CF">
            <w:pPr>
              <w:spacing w:after="0" w:line="240" w:lineRule="auto"/>
              <w:rPr>
                <w:rFonts w:ascii="Times New Roman" w:eastAsia="Times New Roman" w:hAnsi="Times New Roman" w:cs="Times New Roman"/>
                <w:sz w:val="20"/>
                <w:szCs w:val="20"/>
                <w:lang w:eastAsia="fr-FR"/>
              </w:rPr>
            </w:pPr>
          </w:p>
        </w:tc>
      </w:tr>
    </w:tbl>
    <w:p w:rsidR="000F6FB7" w:rsidRPr="002C70CF" w:rsidRDefault="000F6FB7" w:rsidP="002C70CF"/>
    <w:sectPr w:rsidR="000F6FB7" w:rsidRPr="002C70C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F29" w:rsidRDefault="00827F29" w:rsidP="000F6FB7">
      <w:pPr>
        <w:spacing w:after="0" w:line="240" w:lineRule="auto"/>
      </w:pPr>
      <w:r>
        <w:separator/>
      </w:r>
    </w:p>
  </w:endnote>
  <w:endnote w:type="continuationSeparator" w:id="0">
    <w:p w:rsidR="00827F29" w:rsidRDefault="00827F29" w:rsidP="000F6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oltaire">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F29" w:rsidRDefault="00827F29" w:rsidP="000F6FB7">
      <w:pPr>
        <w:spacing w:after="0" w:line="240" w:lineRule="auto"/>
      </w:pPr>
      <w:r>
        <w:separator/>
      </w:r>
    </w:p>
  </w:footnote>
  <w:footnote w:type="continuationSeparator" w:id="0">
    <w:p w:rsidR="00827F29" w:rsidRDefault="00827F29" w:rsidP="000F6F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FB7" w:rsidRDefault="000F6FB7">
    <w:pPr>
      <w:pStyle w:val="En-tte"/>
    </w:pPr>
    <w:r>
      <w:rPr>
        <w:noProof/>
        <w:lang w:eastAsia="fr-FR"/>
      </w:rPr>
      <mc:AlternateContent>
        <mc:Choice Requires="wps">
          <w:drawing>
            <wp:anchor distT="0" distB="0" distL="118745" distR="118745" simplePos="0" relativeHeight="25165926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Voltaire" w:hAnsi="Voltaire" w:cs="Helvetica"/>
                              <w:color w:val="333333"/>
                              <w:sz w:val="21"/>
                              <w:szCs w:val="2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0F6FB7" w:rsidRDefault="000F6FB7" w:rsidP="000F6FB7">
                              <w:pPr>
                                <w:pStyle w:val="En-tte"/>
                                <w:jc w:val="center"/>
                                <w:rPr>
                                  <w:caps/>
                                  <w:color w:val="FFFFFF" w:themeColor="background1"/>
                                </w:rPr>
                              </w:pPr>
                              <w:r w:rsidRPr="000F6FB7">
                                <w:rPr>
                                  <w:rFonts w:ascii="Voltaire" w:hAnsi="Voltaire" w:cs="Helvetica"/>
                                  <w:color w:val="333333"/>
                                  <w:sz w:val="21"/>
                                  <w:szCs w:val="21"/>
                                </w:rPr>
                                <w:t xml:space="preserve">© Copyright SHARESAP.COM. Tous droits </w:t>
                              </w:r>
                              <w:proofErr w:type="spellStart"/>
                              <w:r w:rsidRPr="000F6FB7">
                                <w:rPr>
                                  <w:rFonts w:ascii="Voltaire" w:hAnsi="Voltaire" w:cs="Helvetica"/>
                                  <w:color w:val="333333"/>
                                  <w:sz w:val="21"/>
                                  <w:szCs w:val="21"/>
                                </w:rPr>
                                <w:t>réservés.Mickael</w:t>
                              </w:r>
                              <w:proofErr w:type="spellEnd"/>
                              <w:r w:rsidRPr="000F6FB7">
                                <w:rPr>
                                  <w:rFonts w:ascii="Voltaire" w:hAnsi="Voltaire" w:cs="Helvetica"/>
                                  <w:color w:val="333333"/>
                                  <w:sz w:val="21"/>
                                  <w:szCs w:val="21"/>
                                </w:rPr>
                                <w:t xml:space="preserve"> QUESNOT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rFonts w:ascii="Voltaire" w:hAnsi="Voltaire" w:cs="Helvetica"/>
                        <w:color w:val="333333"/>
                        <w:sz w:val="21"/>
                        <w:szCs w:val="2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0F6FB7" w:rsidRDefault="000F6FB7" w:rsidP="000F6FB7">
                        <w:pPr>
                          <w:pStyle w:val="En-tte"/>
                          <w:jc w:val="center"/>
                          <w:rPr>
                            <w:caps/>
                            <w:color w:val="FFFFFF" w:themeColor="background1"/>
                          </w:rPr>
                        </w:pPr>
                        <w:r w:rsidRPr="000F6FB7">
                          <w:rPr>
                            <w:rFonts w:ascii="Voltaire" w:hAnsi="Voltaire" w:cs="Helvetica"/>
                            <w:color w:val="333333"/>
                            <w:sz w:val="21"/>
                            <w:szCs w:val="21"/>
                          </w:rPr>
                          <w:t xml:space="preserve">© Copyright SHARESAP.COM. Tous droits </w:t>
                        </w:r>
                        <w:proofErr w:type="spellStart"/>
                        <w:r w:rsidRPr="000F6FB7">
                          <w:rPr>
                            <w:rFonts w:ascii="Voltaire" w:hAnsi="Voltaire" w:cs="Helvetica"/>
                            <w:color w:val="333333"/>
                            <w:sz w:val="21"/>
                            <w:szCs w:val="21"/>
                          </w:rPr>
                          <w:t>réservés.Mickael</w:t>
                        </w:r>
                        <w:proofErr w:type="spellEnd"/>
                        <w:r w:rsidRPr="000F6FB7">
                          <w:rPr>
                            <w:rFonts w:ascii="Voltaire" w:hAnsi="Voltaire" w:cs="Helvetica"/>
                            <w:color w:val="333333"/>
                            <w:sz w:val="21"/>
                            <w:szCs w:val="21"/>
                          </w:rPr>
                          <w:t xml:space="preserve"> QUESNOT</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in;height:3in" o:bullet="t"/>
    </w:pict>
  </w:numPicBullet>
  <w:numPicBullet w:numPicBulletId="1">
    <w:pict>
      <v:shape id="_x0000_i1041" type="#_x0000_t75" style="width:3in;height:3in" o:bullet="t"/>
    </w:pict>
  </w:numPicBullet>
  <w:numPicBullet w:numPicBulletId="2">
    <w:pict>
      <v:shape id="_x0000_i1042" type="#_x0000_t75" style="width:3in;height:3in" o:bullet="t"/>
    </w:pict>
  </w:numPicBullet>
  <w:numPicBullet w:numPicBulletId="3">
    <w:pict>
      <v:shape id="_x0000_i1043" type="#_x0000_t75" style="width:3in;height:3in" o:bullet="t"/>
    </w:pict>
  </w:numPicBullet>
  <w:abstractNum w:abstractNumId="0" w15:restartNumberingAfterBreak="0">
    <w:nsid w:val="04752DB1"/>
    <w:multiLevelType w:val="multilevel"/>
    <w:tmpl w:val="2F1E1184"/>
    <w:lvl w:ilvl="0">
      <w:start w:val="1"/>
      <w:numFmt w:val="bullet"/>
      <w:lvlText w:val=""/>
      <w:lvlPicBulletId w:val="3"/>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84574"/>
    <w:multiLevelType w:val="multilevel"/>
    <w:tmpl w:val="469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B3093E"/>
    <w:multiLevelType w:val="multilevel"/>
    <w:tmpl w:val="79E489F6"/>
    <w:lvl w:ilvl="0">
      <w:start w:val="1"/>
      <w:numFmt w:val="bullet"/>
      <w:lvlText w:val=""/>
      <w:lvlPicBulletId w:val="2"/>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0A668C"/>
    <w:multiLevelType w:val="multilevel"/>
    <w:tmpl w:val="A694F380"/>
    <w:lvl w:ilvl="0">
      <w:start w:val="1"/>
      <w:numFmt w:val="bullet"/>
      <w:lvlText w:val=""/>
      <w:lvlPicBulletId w:val="1"/>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067980"/>
    <w:multiLevelType w:val="multilevel"/>
    <w:tmpl w:val="FD38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1C3E9F"/>
    <w:multiLevelType w:val="multilevel"/>
    <w:tmpl w:val="12302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007F9"/>
    <w:multiLevelType w:val="multilevel"/>
    <w:tmpl w:val="3CFC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7A544F"/>
    <w:multiLevelType w:val="multilevel"/>
    <w:tmpl w:val="2070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BE16A8"/>
    <w:multiLevelType w:val="multilevel"/>
    <w:tmpl w:val="A8264560"/>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F70FF8"/>
    <w:multiLevelType w:val="multilevel"/>
    <w:tmpl w:val="A0E87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ED3187"/>
    <w:multiLevelType w:val="multilevel"/>
    <w:tmpl w:val="85EE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4"/>
  </w:num>
  <w:num w:numId="4">
    <w:abstractNumId w:val="9"/>
  </w:num>
  <w:num w:numId="5">
    <w:abstractNumId w:val="5"/>
  </w:num>
  <w:num w:numId="6">
    <w:abstractNumId w:val="1"/>
  </w:num>
  <w:num w:numId="7">
    <w:abstractNumId w:val="6"/>
  </w:num>
  <w:num w:numId="8">
    <w:abstractNumId w:val="8"/>
  </w:num>
  <w:num w:numId="9">
    <w:abstractNumId w:val="3"/>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11D"/>
    <w:rsid w:val="0002211D"/>
    <w:rsid w:val="000F6FB7"/>
    <w:rsid w:val="001A323A"/>
    <w:rsid w:val="001B2B5B"/>
    <w:rsid w:val="002C70CF"/>
    <w:rsid w:val="004340DF"/>
    <w:rsid w:val="004C5754"/>
    <w:rsid w:val="00550255"/>
    <w:rsid w:val="007417C3"/>
    <w:rsid w:val="00795594"/>
    <w:rsid w:val="00827F29"/>
    <w:rsid w:val="008520C8"/>
    <w:rsid w:val="00BA168A"/>
    <w:rsid w:val="00CF44BD"/>
    <w:rsid w:val="00DE60F2"/>
    <w:rsid w:val="00ED18DA"/>
    <w:rsid w:val="00F65B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D1A1A9F-4922-407E-BDFD-6D2B7590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BA168A"/>
    <w:pPr>
      <w:spacing w:before="75" w:after="375" w:line="330" w:lineRule="atLeast"/>
      <w:outlineLvl w:val="0"/>
    </w:pPr>
    <w:rPr>
      <w:rFonts w:ascii="Arial Black" w:eastAsia="Times New Roman" w:hAnsi="Arial Black" w:cs="Times New Roman"/>
      <w:b/>
      <w:bCs/>
      <w:caps/>
      <w:color w:val="F0AB00"/>
      <w:spacing w:val="-12"/>
      <w:kern w:val="36"/>
      <w:sz w:val="29"/>
      <w:szCs w:val="29"/>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8520C8"/>
    <w:rPr>
      <w:b/>
      <w:bCs/>
    </w:rPr>
  </w:style>
  <w:style w:type="paragraph" w:styleId="NormalWeb">
    <w:name w:val="Normal (Web)"/>
    <w:basedOn w:val="Normal"/>
    <w:uiPriority w:val="99"/>
    <w:semiHidden/>
    <w:unhideWhenUsed/>
    <w:rsid w:val="008520C8"/>
    <w:pPr>
      <w:spacing w:after="90" w:line="336"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520C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20C8"/>
    <w:rPr>
      <w:rFonts w:ascii="Segoe UI" w:hAnsi="Segoe UI" w:cs="Segoe UI"/>
      <w:sz w:val="18"/>
      <w:szCs w:val="18"/>
    </w:rPr>
  </w:style>
  <w:style w:type="paragraph" w:styleId="En-tte">
    <w:name w:val="header"/>
    <w:basedOn w:val="Normal"/>
    <w:link w:val="En-tteCar"/>
    <w:uiPriority w:val="99"/>
    <w:unhideWhenUsed/>
    <w:rsid w:val="000F6FB7"/>
    <w:pPr>
      <w:tabs>
        <w:tab w:val="center" w:pos="4536"/>
        <w:tab w:val="right" w:pos="9072"/>
      </w:tabs>
      <w:spacing w:after="0" w:line="240" w:lineRule="auto"/>
    </w:pPr>
  </w:style>
  <w:style w:type="character" w:customStyle="1" w:styleId="En-tteCar">
    <w:name w:val="En-tête Car"/>
    <w:basedOn w:val="Policepardfaut"/>
    <w:link w:val="En-tte"/>
    <w:uiPriority w:val="99"/>
    <w:rsid w:val="000F6FB7"/>
  </w:style>
  <w:style w:type="paragraph" w:styleId="Pieddepage">
    <w:name w:val="footer"/>
    <w:basedOn w:val="Normal"/>
    <w:link w:val="PieddepageCar"/>
    <w:uiPriority w:val="99"/>
    <w:unhideWhenUsed/>
    <w:rsid w:val="000F6FB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F6FB7"/>
  </w:style>
  <w:style w:type="character" w:customStyle="1" w:styleId="Titre1Car">
    <w:name w:val="Titre 1 Car"/>
    <w:basedOn w:val="Policepardfaut"/>
    <w:link w:val="Titre1"/>
    <w:uiPriority w:val="9"/>
    <w:rsid w:val="00BA168A"/>
    <w:rPr>
      <w:rFonts w:ascii="Arial Black" w:eastAsia="Times New Roman" w:hAnsi="Arial Black" w:cs="Times New Roman"/>
      <w:b/>
      <w:bCs/>
      <w:caps/>
      <w:color w:val="F0AB00"/>
      <w:spacing w:val="-12"/>
      <w:kern w:val="36"/>
      <w:sz w:val="29"/>
      <w:szCs w:val="29"/>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587076">
      <w:bodyDiv w:val="1"/>
      <w:marLeft w:val="0"/>
      <w:marRight w:val="0"/>
      <w:marTop w:val="0"/>
      <w:marBottom w:val="0"/>
      <w:divBdr>
        <w:top w:val="none" w:sz="0" w:space="0" w:color="auto"/>
        <w:left w:val="none" w:sz="0" w:space="0" w:color="auto"/>
        <w:bottom w:val="none" w:sz="0" w:space="0" w:color="auto"/>
        <w:right w:val="none" w:sz="0" w:space="0" w:color="auto"/>
      </w:divBdr>
      <w:divsChild>
        <w:div w:id="654183867">
          <w:marLeft w:val="0"/>
          <w:marRight w:val="0"/>
          <w:marTop w:val="0"/>
          <w:marBottom w:val="0"/>
          <w:divBdr>
            <w:top w:val="none" w:sz="0" w:space="0" w:color="auto"/>
            <w:left w:val="none" w:sz="0" w:space="0" w:color="auto"/>
            <w:bottom w:val="none" w:sz="0" w:space="0" w:color="auto"/>
            <w:right w:val="none" w:sz="0" w:space="0" w:color="auto"/>
          </w:divBdr>
          <w:divsChild>
            <w:div w:id="657533502">
              <w:marLeft w:val="0"/>
              <w:marRight w:val="0"/>
              <w:marTop w:val="0"/>
              <w:marBottom w:val="0"/>
              <w:divBdr>
                <w:top w:val="none" w:sz="0" w:space="0" w:color="auto"/>
                <w:left w:val="none" w:sz="0" w:space="0" w:color="auto"/>
                <w:bottom w:val="none" w:sz="0" w:space="0" w:color="auto"/>
                <w:right w:val="none" w:sz="0" w:space="0" w:color="auto"/>
              </w:divBdr>
              <w:divsChild>
                <w:div w:id="1324360474">
                  <w:marLeft w:val="0"/>
                  <w:marRight w:val="0"/>
                  <w:marTop w:val="0"/>
                  <w:marBottom w:val="0"/>
                  <w:divBdr>
                    <w:top w:val="none" w:sz="0" w:space="0" w:color="auto"/>
                    <w:left w:val="none" w:sz="0" w:space="0" w:color="auto"/>
                    <w:bottom w:val="none" w:sz="0" w:space="0" w:color="auto"/>
                    <w:right w:val="none" w:sz="0" w:space="0" w:color="auto"/>
                  </w:divBdr>
                  <w:divsChild>
                    <w:div w:id="1556967774">
                      <w:marLeft w:val="0"/>
                      <w:marRight w:val="0"/>
                      <w:marTop w:val="0"/>
                      <w:marBottom w:val="0"/>
                      <w:divBdr>
                        <w:top w:val="none" w:sz="0" w:space="0" w:color="auto"/>
                        <w:left w:val="none" w:sz="0" w:space="0" w:color="auto"/>
                        <w:bottom w:val="none" w:sz="0" w:space="0" w:color="auto"/>
                        <w:right w:val="none" w:sz="0" w:space="0" w:color="auto"/>
                      </w:divBdr>
                      <w:divsChild>
                        <w:div w:id="1030490946">
                          <w:marLeft w:val="0"/>
                          <w:marRight w:val="0"/>
                          <w:marTop w:val="0"/>
                          <w:marBottom w:val="0"/>
                          <w:divBdr>
                            <w:top w:val="none" w:sz="0" w:space="0" w:color="auto"/>
                            <w:left w:val="none" w:sz="0" w:space="0" w:color="auto"/>
                            <w:bottom w:val="none" w:sz="0" w:space="0" w:color="auto"/>
                            <w:right w:val="none" w:sz="0" w:space="0" w:color="auto"/>
                          </w:divBdr>
                          <w:divsChild>
                            <w:div w:id="1887443871">
                              <w:marLeft w:val="0"/>
                              <w:marRight w:val="0"/>
                              <w:marTop w:val="0"/>
                              <w:marBottom w:val="0"/>
                              <w:divBdr>
                                <w:top w:val="none" w:sz="0" w:space="0" w:color="auto"/>
                                <w:left w:val="none" w:sz="0" w:space="0" w:color="auto"/>
                                <w:bottom w:val="none" w:sz="0" w:space="0" w:color="auto"/>
                                <w:right w:val="none" w:sz="0" w:space="0" w:color="auto"/>
                              </w:divBdr>
                              <w:divsChild>
                                <w:div w:id="2013333491">
                                  <w:marLeft w:val="0"/>
                                  <w:marRight w:val="0"/>
                                  <w:marTop w:val="0"/>
                                  <w:marBottom w:val="0"/>
                                  <w:divBdr>
                                    <w:top w:val="none" w:sz="0" w:space="0" w:color="auto"/>
                                    <w:left w:val="none" w:sz="0" w:space="0" w:color="auto"/>
                                    <w:bottom w:val="none" w:sz="0" w:space="0" w:color="auto"/>
                                    <w:right w:val="none" w:sz="0" w:space="0" w:color="auto"/>
                                  </w:divBdr>
                                  <w:divsChild>
                                    <w:div w:id="1998608553">
                                      <w:marLeft w:val="0"/>
                                      <w:marRight w:val="0"/>
                                      <w:marTop w:val="0"/>
                                      <w:marBottom w:val="0"/>
                                      <w:divBdr>
                                        <w:top w:val="none" w:sz="0" w:space="0" w:color="auto"/>
                                        <w:left w:val="none" w:sz="0" w:space="0" w:color="auto"/>
                                        <w:bottom w:val="none" w:sz="0" w:space="0" w:color="auto"/>
                                        <w:right w:val="none" w:sz="0" w:space="0" w:color="auto"/>
                                      </w:divBdr>
                                      <w:divsChild>
                                        <w:div w:id="105670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795593">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3">
          <w:marLeft w:val="0"/>
          <w:marRight w:val="0"/>
          <w:marTop w:val="0"/>
          <w:marBottom w:val="0"/>
          <w:divBdr>
            <w:top w:val="none" w:sz="0" w:space="0" w:color="auto"/>
            <w:left w:val="none" w:sz="0" w:space="0" w:color="auto"/>
            <w:bottom w:val="none" w:sz="0" w:space="0" w:color="auto"/>
            <w:right w:val="none" w:sz="0" w:space="0" w:color="auto"/>
          </w:divBdr>
        </w:div>
        <w:div w:id="2021076673">
          <w:marLeft w:val="0"/>
          <w:marRight w:val="0"/>
          <w:marTop w:val="0"/>
          <w:marBottom w:val="0"/>
          <w:divBdr>
            <w:top w:val="none" w:sz="0" w:space="0" w:color="auto"/>
            <w:left w:val="none" w:sz="0" w:space="0" w:color="auto"/>
            <w:bottom w:val="none" w:sz="0" w:space="0" w:color="auto"/>
            <w:right w:val="none" w:sz="0" w:space="0" w:color="auto"/>
          </w:divBdr>
        </w:div>
      </w:divsChild>
    </w:div>
    <w:div w:id="1641037771">
      <w:bodyDiv w:val="1"/>
      <w:marLeft w:val="0"/>
      <w:marRight w:val="0"/>
      <w:marTop w:val="0"/>
      <w:marBottom w:val="0"/>
      <w:divBdr>
        <w:top w:val="none" w:sz="0" w:space="0" w:color="auto"/>
        <w:left w:val="none" w:sz="0" w:space="0" w:color="auto"/>
        <w:bottom w:val="none" w:sz="0" w:space="0" w:color="auto"/>
        <w:right w:val="none" w:sz="0" w:space="0" w:color="auto"/>
      </w:divBdr>
      <w:divsChild>
        <w:div w:id="949165436">
          <w:marLeft w:val="0"/>
          <w:marRight w:val="0"/>
          <w:marTop w:val="0"/>
          <w:marBottom w:val="0"/>
          <w:divBdr>
            <w:top w:val="none" w:sz="0" w:space="0" w:color="auto"/>
            <w:left w:val="none" w:sz="0" w:space="0" w:color="auto"/>
            <w:bottom w:val="none" w:sz="0" w:space="0" w:color="auto"/>
            <w:right w:val="none" w:sz="0" w:space="0" w:color="auto"/>
          </w:divBdr>
        </w:div>
        <w:div w:id="206645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1252</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Copyright SHARESAP.COM. Tous droits réservés.Mickael QUESNOT</dc:title>
  <dc:subject/>
  <dc:creator>Quesnot, Mickael</dc:creator>
  <cp:keywords/>
  <dc:description/>
  <cp:lastModifiedBy>Quesnot, Mickael</cp:lastModifiedBy>
  <cp:revision>2</cp:revision>
  <cp:lastPrinted>2015-10-15T10:54:00Z</cp:lastPrinted>
  <dcterms:created xsi:type="dcterms:W3CDTF">2015-10-20T07:21:00Z</dcterms:created>
  <dcterms:modified xsi:type="dcterms:W3CDTF">2015-10-20T07:21:00Z</dcterms:modified>
</cp:coreProperties>
</file>